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33" w:rsidRPr="008B41EA" w:rsidRDefault="00E51D33" w:rsidP="00E51D33">
      <w:pPr>
        <w:pBdr>
          <w:bottom w:val="single" w:sz="6" w:space="11" w:color="FFFFFF"/>
        </w:pBdr>
        <w:spacing w:after="300" w:line="240" w:lineRule="auto"/>
        <w:jc w:val="both"/>
        <w:outlineLvl w:val="1"/>
        <w:rPr>
          <w:rFonts w:ascii="Verdana" w:eastAsia="Times New Roman" w:hAnsi="Verdana" w:cs="Times New Roman"/>
          <w:color w:val="7030A0"/>
          <w:sz w:val="35"/>
          <w:szCs w:val="35"/>
          <w:lang w:eastAsia="ru-RU"/>
        </w:rPr>
      </w:pPr>
      <w:r w:rsidRPr="00AE2A8A">
        <w:rPr>
          <w:rFonts w:ascii="Verdana" w:eastAsia="Times New Roman" w:hAnsi="Verdana" w:cs="Times New Roman"/>
          <w:color w:val="4D0D29"/>
          <w:kern w:val="36"/>
          <w:sz w:val="35"/>
          <w:szCs w:val="3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2.25pt" fillcolor="red" strokecolor="yellow" strokeweight="1pt">
            <v:fill opacity=".5"/>
            <v:shadow on="t" color="#99f" offset="3pt"/>
            <v:textpath style="font-family:&quot;Arial Black&quot;;v-text-kern:t" trim="t" fitpath="t" string="Батькам майбутніх першокласників"/>
          </v:shape>
        </w:pict>
      </w:r>
      <w:r>
        <w:rPr>
          <w:rFonts w:ascii="Verdana" w:eastAsia="Times New Roman" w:hAnsi="Verdana" w:cs="Times New Roman"/>
          <w:noProof/>
          <w:color w:val="4D0D29"/>
          <w:sz w:val="35"/>
          <w:szCs w:val="35"/>
          <w:lang w:eastAsia="ru-RU"/>
        </w:rPr>
        <w:drawing>
          <wp:inline distT="0" distB="0" distL="0" distR="0">
            <wp:extent cx="1485900" cy="1304925"/>
            <wp:effectExtent l="19050" t="0" r="0" b="0"/>
            <wp:docPr id="10" name="Рисунок 1" descr="/Files/images/kolok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kolok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Похід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у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перший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клас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– одна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найголовніших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подій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у житті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малюка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. Як правило, до цього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важливого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дня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вс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батьки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ретельно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готуються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. І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готують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свою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дитину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Учать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писати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читати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рахувати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Купують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портфель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шкільні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приладдя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35"/>
          <w:lang w:eastAsia="ru-RU"/>
        </w:rPr>
        <w:t>.</w:t>
      </w:r>
    </w:p>
    <w:p w:rsidR="00E51D33" w:rsidRPr="008B41EA" w:rsidRDefault="00E51D33" w:rsidP="00E51D33">
      <w:pPr>
        <w:pBdr>
          <w:bottom w:val="single" w:sz="6" w:space="11" w:color="FFFFFF"/>
        </w:pBdr>
        <w:spacing w:after="300" w:line="240" w:lineRule="auto"/>
        <w:jc w:val="both"/>
        <w:outlineLvl w:val="1"/>
        <w:rPr>
          <w:rFonts w:ascii="Verdana" w:eastAsia="Times New Roman" w:hAnsi="Verdana" w:cs="Times New Roman"/>
          <w:color w:val="7030A0"/>
          <w:sz w:val="35"/>
          <w:szCs w:val="35"/>
          <w:lang w:eastAsia="ru-RU"/>
        </w:rPr>
      </w:pPr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Школа –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це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не</w:t>
      </w:r>
      <w:proofErr w:type="gram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тільки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читання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писання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або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рахунок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Це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цілий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новий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св</w:t>
      </w:r>
      <w:proofErr w:type="gram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іт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, до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якого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>теж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35"/>
          <w:lang w:eastAsia="ru-RU"/>
        </w:rPr>
        <w:t xml:space="preserve"> повинна бути готова.</w: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Серед батьків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сьогодні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існує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думка,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краще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віддати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раніше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Тоді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вона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закінчить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раніше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навіщо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?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Куди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поспішати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?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Адже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вона повинна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навчитися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ще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налагоджувати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стосунки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 людьми,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відстоювати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свою точку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зору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бути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самостійною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</w: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Для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початку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визначтеся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чого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хочете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Просто, щоб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закінчила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школу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раніше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вступила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вищого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навчального закладу?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Але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там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буде нелегко,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бо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вона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ще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подорослішала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Або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хочете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щоб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була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успішною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навчалася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задоволенням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отримувала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максимум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знань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причому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таких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які вона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змогла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б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застосувати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житті?</w: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0" cy="2438400"/>
            <wp:effectExtent l="0" t="0" r="0" b="0"/>
            <wp:docPr id="11" name="Рисунок 2" descr="/Files/images/0_5f69e_5b73183f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0_5f69e_5b73183f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Вашому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малюкові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ще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виповнилося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шість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років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вересня, то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потрібно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мучити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віддавати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школу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завчасно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Він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ще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готовий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навіть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навчили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прекрасно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читати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рахувати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Нерідко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трапляються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такі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ситуації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в яких батьки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народилися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наприклад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ул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ітку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наполягають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на тому, щоб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взяли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класу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Батьки!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Насамперед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задумайтеся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самі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чи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готовий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Ваш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малюк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просто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висидіти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40-45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хвилин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навчального часу,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але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утримувати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увагу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такий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тривалий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час?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Крім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того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,н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для кого не секрет,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навіть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першокласникам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порушуючи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всі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вимоги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сьогодні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задають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домашні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завдання. 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це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lastRenderedPageBreak/>
        <w:t>означа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,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буде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чотири-п'ять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уроків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але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проводитиме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тільки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півтори-дві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години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письмовим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столом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вдома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виконуючи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домашні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завдання.</w: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43225" cy="1819448"/>
            <wp:effectExtent l="19050" t="0" r="9525" b="0"/>
            <wp:docPr id="12" name="Рисунок 3" descr="/Files/images/novyy_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novyy_risun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Отже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посидюща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уважна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прекрасно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налагоджує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взаємини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однолітками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дорослими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легко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адаптується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незнайомій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обстановці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задоволенням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виконує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ізноманітні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навчальні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завдання 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ігровій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формі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можете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відвести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класу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– батьки активного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непосиди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використає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будь-яку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хвилинку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щоб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погратися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або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попустувати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то Вам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потрібно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звернутися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фахівців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–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педагогів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та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психологів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Вони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допоможуть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визначитися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–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відправляти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класу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або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ще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ік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почекати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маляті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можливість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удосталь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награтися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підрости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</w: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До 1 вересня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потрібно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ідготувати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тільки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портфель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шкільні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приладдя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Малюк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повинен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бути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готовий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морально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нової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обстановки,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нових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дітей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дорослих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Тому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знайомство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школою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добре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було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б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розпочати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вересні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набагато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раніше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Приведіть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пройдіться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коридорами, погуляйте на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спортивному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майданчику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Обов'язково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розкажіть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як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ішли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класу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Поясніть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малюкові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чим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школа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ізняється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від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дитячого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садочка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він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звик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Інформація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повинна бути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односторонньою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Необхідно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розповісти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про те, як буде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цікаво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про те, з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якими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труднощами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може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зіштовхнутися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</w: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Навесні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або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вл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ітку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познайомте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свого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майбутнього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першокласника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учителькою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Тоді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вересні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уникнете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тривожності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іноді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виникає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маленьких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учнів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ід час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зустрічі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новим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дорослим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</w: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Період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адаптації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першого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класу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кожної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триває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по-р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ізному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Хтось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звикає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практично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відразу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комусь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знадобиться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досить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довгий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час, щоб стати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школярем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.Я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йде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неохоче,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поговоріть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нею,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намагайтесь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з'ясувати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хвилює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Можливо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вона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почуває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себе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невпевнено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Можливо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складаються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стосунки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однокласниками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Намагайтеся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частіше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спілкуватися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учителькою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адже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вона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бачить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Вашого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малюка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ізних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ситуаціях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може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допомогти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Вам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порадою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</w:t>
      </w:r>
    </w:p>
    <w:p w:rsidR="00E51D33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i/>
          <w:iCs/>
          <w:color w:val="4D0D29"/>
          <w:kern w:val="36"/>
          <w:sz w:val="35"/>
          <w:lang w:val="uk-UA" w:eastAsia="ru-RU"/>
        </w:rPr>
      </w:pP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Коли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малюк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повертається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запитуйте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ньго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що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цікавого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він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сьогодні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довідався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почува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,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що Вам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небайдужі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шкільні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успіхи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то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буде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більшим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задоволенням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i/>
          <w:iCs/>
          <w:color w:val="4D0D29"/>
          <w:kern w:val="36"/>
          <w:sz w:val="35"/>
          <w:lang w:val="uk-UA" w:eastAsia="ru-RU"/>
        </w:rPr>
        <w:t xml:space="preserve"> </w:t>
      </w:r>
    </w:p>
    <w:p w:rsidR="00E51D33" w:rsidRDefault="00E51D33" w:rsidP="00E51D33">
      <w:pPr>
        <w:shd w:val="clear" w:color="auto" w:fill="FFFFFF" w:themeFill="background1"/>
        <w:spacing w:before="216" w:after="48" w:line="240" w:lineRule="auto"/>
        <w:jc w:val="center"/>
        <w:outlineLvl w:val="4"/>
        <w:rPr>
          <w:rFonts w:ascii="Verdana" w:eastAsia="Times New Roman" w:hAnsi="Verdana" w:cs="Times New Roman"/>
          <w:b/>
          <w:bCs/>
          <w:i/>
          <w:iCs/>
          <w:color w:val="4D0D29"/>
          <w:kern w:val="36"/>
          <w:sz w:val="35"/>
          <w:lang w:val="uk-UA" w:eastAsia="ru-RU"/>
        </w:rPr>
      </w:pPr>
      <w:r w:rsidRPr="00AE2A8A">
        <w:rPr>
          <w:rFonts w:ascii="Verdana" w:eastAsia="Times New Roman" w:hAnsi="Verdana" w:cs="Times New Roman"/>
          <w:b/>
          <w:bCs/>
          <w:i/>
          <w:iCs/>
          <w:color w:val="4D0D29"/>
          <w:kern w:val="36"/>
          <w:sz w:val="35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11pt;height:4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отовність дітей до шкільного навчання"/>
          </v:shape>
        </w:pict>
      </w:r>
    </w:p>
    <w:p w:rsidR="00E51D33" w:rsidRPr="008B41EA" w:rsidRDefault="00E51D33" w:rsidP="00E51D33">
      <w:pPr>
        <w:shd w:val="clear" w:color="auto" w:fill="FFFFFF" w:themeFill="background1"/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D0D29"/>
          <w:kern w:val="36"/>
          <w:sz w:val="35"/>
          <w:lang w:val="uk-UA" w:eastAsia="ru-RU"/>
        </w:rPr>
        <w:lastRenderedPageBreak/>
        <w:t xml:space="preserve">  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0" cy="2371725"/>
            <wp:effectExtent l="19050" t="0" r="0" b="0"/>
            <wp:docPr id="13" name="Рисунок 5" descr="/Files/порт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портф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i/>
          <w:iCs/>
          <w:color w:val="4D0D29"/>
          <w:kern w:val="36"/>
          <w:sz w:val="35"/>
          <w:lang w:val="uk-UA" w:eastAsia="ru-RU"/>
        </w:rPr>
        <w:t xml:space="preserve"> </w:t>
      </w: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uk-UA" w:eastAsia="ru-RU"/>
        </w:rPr>
        <w:t xml:space="preserve">Готовність до навчання у школі є інтегративною характеристикою психічного розвитку дитини, яка охоплює компоненти, що забезпечують її успішну адаптацію до умов і вимог школи. </w:t>
      </w:r>
      <w:r w:rsidRPr="00CB258E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uk-UA" w:eastAsia="ru-RU"/>
        </w:rPr>
        <w:t>Цей феномен постає як загальна</w:t>
      </w: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 </w:t>
      </w:r>
      <w:r w:rsidRPr="00CB258E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val="uk-UA" w:eastAsia="ru-RU"/>
        </w:rPr>
        <w:t>(психологічна)</w:t>
      </w: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 </w:t>
      </w:r>
      <w:r w:rsidRPr="00CB258E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uk-UA" w:eastAsia="ru-RU"/>
        </w:rPr>
        <w:t>і спеціальна готовність до навчання у школі, в якій розкриваються рівні розвитку тих психологічних якостей, що найбільше сприяють нормальному входженню у шкільне життя, формуванню навчальної діяльності.</w:t>
      </w:r>
    </w:p>
    <w:p w:rsidR="00E51D33" w:rsidRPr="008B41EA" w:rsidRDefault="00E51D33" w:rsidP="00E51D33">
      <w:pPr>
        <w:spacing w:before="288" w:after="72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>Основними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 xml:space="preserve"> компонентами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>загальної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 xml:space="preserve"> (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>психологічної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 xml:space="preserve">)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>готовності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>школи</w:t>
      </w:r>
      <w:proofErr w:type="spellEnd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lang w:eastAsia="ru-RU"/>
        </w:rPr>
        <w:t xml:space="preserve"> є:</w:t>
      </w:r>
      <w:proofErr w:type="gramEnd"/>
    </w:p>
    <w:p w:rsidR="00E51D33" w:rsidRPr="008B41EA" w:rsidRDefault="00E51D33" w:rsidP="00E51D33">
      <w:pPr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1.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Мотиваційна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готовність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навчання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школі.</w:t>
      </w: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Виявляється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прагненні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бути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школярем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;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достатньо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високому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івні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пізнавальної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діяльності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мислительних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операцій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;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володінні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елементами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навчальної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діяльності;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певному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рівні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соціального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розвитку.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сформувалися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адекватні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уявлення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про школу,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вимоги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нової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поведінки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вона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відчуватиме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труднощів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прийнятті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нової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позиції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легко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засвоюватиме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норми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правила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навчальної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діяльності та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поведінки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класі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взаємини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 учителем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школярами.</w:t>
      </w:r>
    </w:p>
    <w:p w:rsidR="00E51D33" w:rsidRPr="008B41EA" w:rsidRDefault="00E51D33" w:rsidP="00E51D33">
      <w:pPr>
        <w:spacing w:before="216" w:after="48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2.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Емоційно-вольова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готовність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навчання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в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школі.</w:t>
      </w: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Засвідчує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здатність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регулювати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свою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поведінку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ізноманітних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ситуаціях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спілкування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спільної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навчальної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діяльності,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виявляється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самостійності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зосередженості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готовності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умінні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здійснювати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необхідні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вольові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зусилля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Цей вид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психологічної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готовності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називають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морально-вольовою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оскільки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вона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пов'язана</w:t>
      </w:r>
      <w:proofErr w:type="spellEnd"/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із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сформованістю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особистісної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позиції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з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здатністю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управління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власною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поведінкою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Йдеться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вміння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дотримуватися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правил,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виконувати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вимоги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дорослого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гальмувати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афективні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імпульси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виявляти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наполегливість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досягненні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мети;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уміння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довести </w:t>
      </w:r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кінця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розпочату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справу,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навіть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якщо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вона не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зовсім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приваблива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для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.</w:t>
      </w:r>
    </w:p>
    <w:p w:rsidR="00E51D33" w:rsidRDefault="00E51D33" w:rsidP="00E51D33">
      <w:pPr>
        <w:jc w:val="both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uk-UA" w:eastAsia="ru-RU"/>
        </w:rPr>
      </w:pPr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3.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Розумова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готовність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навчання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в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школі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. 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Виявляється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загальному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івні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розумового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розвитку,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володінні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вміннями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навичками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які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допоможуть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вивчати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передбачені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програмою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предмети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.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Загалом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розумова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готовність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дитини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до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школі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охоплює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її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загальну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обізнаність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з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навколишнім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св</w:t>
      </w:r>
      <w:proofErr w:type="gram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ітом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елементи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світогляду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; рівень розвитку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пізнавальної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діяльності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окремих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пізнавальних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 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процесів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 (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мовлення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пам'яті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сприймання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мислення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уяви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 xml:space="preserve">, </w:t>
      </w:r>
      <w:proofErr w:type="spellStart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уваги</w:t>
      </w:r>
      <w:proofErr w:type="spellEnd"/>
      <w:r w:rsidRPr="008B41EA">
        <w:rPr>
          <w:rFonts w:ascii="Verdana" w:eastAsia="Times New Roman" w:hAnsi="Verdana" w:cs="Times New Roman"/>
          <w:b/>
          <w:bCs/>
          <w:i/>
          <w:iCs/>
          <w:color w:val="7030A0"/>
          <w:sz w:val="20"/>
          <w:szCs w:val="20"/>
          <w:lang w:eastAsia="ru-RU"/>
        </w:rPr>
        <w:t>)</w:t>
      </w:r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;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передумови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для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формування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навчальних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умінь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і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загалом</w:t>
      </w:r>
      <w:proofErr w:type="spellEnd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 xml:space="preserve"> </w:t>
      </w:r>
      <w:proofErr w:type="spellStart"/>
      <w:r w:rsidRPr="008B41EA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навчальної</w:t>
      </w:r>
      <w:proofErr w:type="spellEnd"/>
      <w:r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uk-UA" w:eastAsia="ru-RU"/>
        </w:rPr>
        <w:t xml:space="preserve">. </w:t>
      </w:r>
    </w:p>
    <w:p w:rsidR="00E51D33" w:rsidRDefault="00E51D33" w:rsidP="00E51D33">
      <w:pPr>
        <w:jc w:val="both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uk-UA" w:eastAsia="ru-RU"/>
        </w:rPr>
      </w:pPr>
    </w:p>
    <w:p w:rsidR="00E51D33" w:rsidRPr="008B41EA" w:rsidRDefault="00E51D33" w:rsidP="00E51D33">
      <w:pPr>
        <w:jc w:val="center"/>
        <w:rPr>
          <w:color w:val="7030A0"/>
          <w:lang w:val="uk-UA"/>
        </w:rPr>
      </w:pPr>
      <w:r w:rsidRPr="008B41EA">
        <w:rPr>
          <w:rFonts w:ascii="Verdana" w:eastAsia="Times New Roman" w:hAnsi="Verdana" w:cs="Times New Roman"/>
          <w:b/>
          <w:bCs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2313709" cy="1670209"/>
            <wp:effectExtent l="19050" t="0" r="0" b="0"/>
            <wp:docPr id="15" name="Рисунок 14" descr="/Files/133157580821165371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Files/13315758082116537116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2" cy="167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D1" w:rsidRDefault="00D83BD1"/>
    <w:sectPr w:rsidR="00D83BD1" w:rsidSect="008B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33"/>
    <w:rsid w:val="00D83BD1"/>
    <w:rsid w:val="00E5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5104</Characters>
  <Application>Microsoft Office Word</Application>
  <DocSecurity>0</DocSecurity>
  <Lines>42</Lines>
  <Paragraphs>11</Paragraphs>
  <ScaleCrop>false</ScaleCrop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2015-04-20T06:56:00Z</dcterms:created>
  <dcterms:modified xsi:type="dcterms:W3CDTF">2015-04-20T06:56:00Z</dcterms:modified>
</cp:coreProperties>
</file>